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C2F" w:rsidRDefault="004C6F8D">
      <w:r>
        <w:t xml:space="preserve">Предприятие №1 – принадлежит ТЭЦ </w:t>
      </w:r>
      <w:r w:rsidR="00613EB4">
        <w:t xml:space="preserve">на которой установлено </w:t>
      </w:r>
      <w:r>
        <w:t xml:space="preserve">3 генератора по 12 МВт. </w:t>
      </w:r>
    </w:p>
    <w:p w:rsidR="00613EB4" w:rsidRDefault="00613EB4">
      <w:r>
        <w:t>Собственность генераторов распределена следующим образом:</w:t>
      </w:r>
    </w:p>
    <w:tbl>
      <w:tblPr>
        <w:tblStyle w:val="a3"/>
        <w:tblW w:w="0" w:type="auto"/>
        <w:tblLook w:val="04A0" w:firstRow="1" w:lastRow="0" w:firstColumn="1" w:lastColumn="0" w:noHBand="0" w:noVBand="1"/>
      </w:tblPr>
      <w:tblGrid>
        <w:gridCol w:w="3115"/>
        <w:gridCol w:w="3115"/>
        <w:gridCol w:w="3115"/>
      </w:tblGrid>
      <w:tr w:rsidR="00613EB4" w:rsidTr="00613EB4">
        <w:tc>
          <w:tcPr>
            <w:tcW w:w="3115" w:type="dxa"/>
          </w:tcPr>
          <w:p w:rsidR="00613EB4" w:rsidRDefault="00613EB4"/>
        </w:tc>
        <w:tc>
          <w:tcPr>
            <w:tcW w:w="3115" w:type="dxa"/>
          </w:tcPr>
          <w:p w:rsidR="00613EB4" w:rsidRDefault="00613EB4">
            <w:r>
              <w:t>Предприятие №1</w:t>
            </w:r>
          </w:p>
        </w:tc>
        <w:tc>
          <w:tcPr>
            <w:tcW w:w="3115" w:type="dxa"/>
          </w:tcPr>
          <w:p w:rsidR="00613EB4" w:rsidRDefault="00613EB4">
            <w:r>
              <w:t>Предприятие №2</w:t>
            </w:r>
          </w:p>
        </w:tc>
      </w:tr>
      <w:tr w:rsidR="00613EB4" w:rsidTr="00613EB4">
        <w:tc>
          <w:tcPr>
            <w:tcW w:w="3115" w:type="dxa"/>
          </w:tcPr>
          <w:p w:rsidR="00613EB4" w:rsidRDefault="00613EB4">
            <w:r>
              <w:t>турбогенератор №1</w:t>
            </w:r>
          </w:p>
        </w:tc>
        <w:tc>
          <w:tcPr>
            <w:tcW w:w="3115" w:type="dxa"/>
          </w:tcPr>
          <w:p w:rsidR="00613EB4" w:rsidRDefault="00613EB4" w:rsidP="00613EB4">
            <w:r>
              <w:t xml:space="preserve">В собственности </w:t>
            </w:r>
          </w:p>
        </w:tc>
        <w:tc>
          <w:tcPr>
            <w:tcW w:w="3115" w:type="dxa"/>
          </w:tcPr>
          <w:p w:rsidR="00613EB4" w:rsidRDefault="00613EB4"/>
        </w:tc>
      </w:tr>
      <w:tr w:rsidR="00613EB4" w:rsidTr="00613EB4">
        <w:tc>
          <w:tcPr>
            <w:tcW w:w="3115" w:type="dxa"/>
          </w:tcPr>
          <w:p w:rsidR="00613EB4" w:rsidRDefault="00613EB4">
            <w:r>
              <w:t>турбогенератор №2</w:t>
            </w:r>
          </w:p>
        </w:tc>
        <w:tc>
          <w:tcPr>
            <w:tcW w:w="3115" w:type="dxa"/>
          </w:tcPr>
          <w:p w:rsidR="00613EB4" w:rsidRDefault="00613EB4"/>
        </w:tc>
        <w:tc>
          <w:tcPr>
            <w:tcW w:w="3115" w:type="dxa"/>
          </w:tcPr>
          <w:p w:rsidR="00613EB4" w:rsidRDefault="00A14D2B">
            <w:r>
              <w:t>В собственности</w:t>
            </w:r>
          </w:p>
        </w:tc>
      </w:tr>
      <w:tr w:rsidR="00613EB4" w:rsidTr="00613EB4">
        <w:tc>
          <w:tcPr>
            <w:tcW w:w="3115" w:type="dxa"/>
          </w:tcPr>
          <w:p w:rsidR="00613EB4" w:rsidRDefault="00613EB4">
            <w:r>
              <w:t>турбогенератор №3</w:t>
            </w:r>
          </w:p>
        </w:tc>
        <w:tc>
          <w:tcPr>
            <w:tcW w:w="3115" w:type="dxa"/>
          </w:tcPr>
          <w:p w:rsidR="00613EB4" w:rsidRDefault="00613EB4"/>
        </w:tc>
        <w:tc>
          <w:tcPr>
            <w:tcW w:w="3115" w:type="dxa"/>
          </w:tcPr>
          <w:p w:rsidR="00613EB4" w:rsidRPr="00A14D2B" w:rsidRDefault="00A14D2B">
            <w:r w:rsidRPr="00A14D2B">
              <w:t>передан в аренду</w:t>
            </w:r>
            <w:r>
              <w:t xml:space="preserve"> от предприятия №1</w:t>
            </w:r>
          </w:p>
        </w:tc>
      </w:tr>
    </w:tbl>
    <w:p w:rsidR="004C6F8D" w:rsidRDefault="004C6F8D">
      <w:r>
        <w:t>Предприятие №1 продает</w:t>
      </w:r>
      <w:r w:rsidR="00AA5C2F">
        <w:t xml:space="preserve"> часть</w:t>
      </w:r>
      <w:r>
        <w:t xml:space="preserve"> электроэнерги</w:t>
      </w:r>
      <w:r w:rsidR="00AA5C2F">
        <w:t>и</w:t>
      </w:r>
      <w:r>
        <w:t xml:space="preserve"> </w:t>
      </w:r>
      <w:r w:rsidR="00AA5C2F">
        <w:t xml:space="preserve">со своего </w:t>
      </w:r>
      <w:proofErr w:type="gramStart"/>
      <w:r w:rsidR="00AA5C2F">
        <w:t xml:space="preserve">генератора </w:t>
      </w:r>
      <w:r>
        <w:t xml:space="preserve"> </w:t>
      </w:r>
      <w:r w:rsidRPr="004C6F8D">
        <w:t>Предприяти</w:t>
      </w:r>
      <w:r w:rsidR="00AA5C2F">
        <w:t>ю</w:t>
      </w:r>
      <w:proofErr w:type="gramEnd"/>
      <w:r w:rsidRPr="004C6F8D">
        <w:t xml:space="preserve"> №2</w:t>
      </w:r>
    </w:p>
    <w:p w:rsidR="00AA5C2F" w:rsidRDefault="00AA5C2F">
      <w:r>
        <w:t xml:space="preserve">Предприятие №1 находиться на производственной площадке </w:t>
      </w:r>
      <w:r w:rsidRPr="00AA5C2F">
        <w:t>Предприятие №2</w:t>
      </w:r>
      <w:r>
        <w:t>.</w:t>
      </w:r>
    </w:p>
    <w:p w:rsidR="00AA5C2F" w:rsidRDefault="00AA5C2F">
      <w:r>
        <w:t>Договор электроснабжения с Гарантирующим поставщиком есть только у Предприятия №2</w:t>
      </w:r>
    </w:p>
    <w:p w:rsidR="005C49A1" w:rsidRPr="00A332DB" w:rsidRDefault="005C49A1">
      <w:r>
        <w:t>Предприятия №2 по договору купли продажи реализует избыток электроэнергии гарантирующему поставщику.</w:t>
      </w:r>
    </w:p>
    <w:p w:rsidR="00AA5C2F" w:rsidRDefault="00AA5C2F" w:rsidP="00AA5C2F">
      <w:r>
        <w:t xml:space="preserve">Предприятие №2 является 100 % собственником акций Предприятия №1. </w:t>
      </w:r>
    </w:p>
    <w:p w:rsidR="004C6F8D" w:rsidRDefault="00AF51F3">
      <w:r>
        <w:t>Вопрос:</w:t>
      </w:r>
    </w:p>
    <w:p w:rsidR="00AF51F3" w:rsidRPr="00574FFF" w:rsidRDefault="00AF51F3">
      <w:pPr>
        <w:rPr>
          <w:b/>
        </w:rPr>
      </w:pPr>
      <w:r w:rsidRPr="00574FFF">
        <w:rPr>
          <w:b/>
        </w:rPr>
        <w:t>Попадет ли предприятие №1</w:t>
      </w:r>
      <w:r w:rsidR="005A7785">
        <w:rPr>
          <w:b/>
        </w:rPr>
        <w:t>,2</w:t>
      </w:r>
      <w:r w:rsidRPr="00574FFF">
        <w:rPr>
          <w:b/>
        </w:rPr>
        <w:t xml:space="preserve"> под пункт</w:t>
      </w:r>
      <w:r w:rsidR="005A7785">
        <w:rPr>
          <w:b/>
        </w:rPr>
        <w:t xml:space="preserve"> (либо существует риск</w:t>
      </w:r>
      <w:proofErr w:type="gramStart"/>
      <w:r w:rsidR="005A7785">
        <w:rPr>
          <w:b/>
        </w:rPr>
        <w:t xml:space="preserve">) </w:t>
      </w:r>
      <w:r w:rsidRPr="00574FFF">
        <w:rPr>
          <w:b/>
        </w:rPr>
        <w:t>:</w:t>
      </w:r>
      <w:proofErr w:type="gramEnd"/>
    </w:p>
    <w:p w:rsidR="00AF51F3" w:rsidRPr="00AF51F3" w:rsidRDefault="00AF51F3" w:rsidP="00AF51F3">
      <w:pPr>
        <w:spacing w:after="120"/>
        <w:ind w:left="357" w:firstLine="210"/>
        <w:jc w:val="both"/>
        <w:rPr>
          <w:rFonts w:ascii="Times New Roman" w:hAnsi="Times New Roman" w:cs="Times New Roman"/>
          <w:sz w:val="24"/>
          <w:szCs w:val="24"/>
        </w:rPr>
      </w:pPr>
      <w:r w:rsidRPr="00AF51F3">
        <w:rPr>
          <w:rFonts w:ascii="Times New Roman" w:hAnsi="Times New Roman" w:cs="Times New Roman"/>
          <w:b/>
          <w:sz w:val="24"/>
          <w:szCs w:val="24"/>
        </w:rPr>
        <w:t>ФЗ №35-ФЗ, статья 36 (пункт 5)</w:t>
      </w:r>
      <w:r w:rsidRPr="00AF51F3">
        <w:rPr>
          <w:rFonts w:ascii="Arial" w:hAnsi="Arial" w:cs="Arial"/>
          <w:b/>
          <w:bCs/>
          <w:color w:val="000000"/>
          <w:kern w:val="36"/>
          <w:sz w:val="30"/>
          <w:szCs w:val="30"/>
        </w:rPr>
        <w:t xml:space="preserve">. </w:t>
      </w:r>
      <w:r w:rsidRPr="00AF51F3">
        <w:rPr>
          <w:rFonts w:ascii="Times New Roman" w:hAnsi="Times New Roman" w:cs="Times New Roman"/>
          <w:sz w:val="24"/>
          <w:szCs w:val="24"/>
        </w:rPr>
        <w:t>Особенности функционирования отдельных субъектов электроэнергетики и потребителей электрической энергии</w:t>
      </w:r>
    </w:p>
    <w:p w:rsidR="00AF51F3" w:rsidRPr="00AF51F3" w:rsidRDefault="00AF51F3" w:rsidP="00AF51F3">
      <w:pPr>
        <w:ind w:firstLine="567"/>
        <w:contextualSpacing/>
        <w:jc w:val="both"/>
        <w:rPr>
          <w:rFonts w:ascii="Times New Roman" w:hAnsi="Times New Roman" w:cs="Times New Roman"/>
          <w:i/>
          <w:sz w:val="24"/>
          <w:szCs w:val="24"/>
        </w:rPr>
      </w:pPr>
      <w:r w:rsidRPr="00AF51F3">
        <w:rPr>
          <w:rFonts w:ascii="Times New Roman" w:hAnsi="Times New Roman" w:cs="Times New Roman"/>
          <w:i/>
          <w:sz w:val="24"/>
          <w:szCs w:val="24"/>
        </w:rPr>
        <w:t>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r:id="rId4" w:anchor="dst100948" w:history="1">
        <w:r w:rsidRPr="00AF51F3">
          <w:rPr>
            <w:rFonts w:ascii="Times New Roman" w:hAnsi="Times New Roman" w:cs="Times New Roman"/>
            <w:i/>
            <w:sz w:val="24"/>
            <w:szCs w:val="24"/>
          </w:rPr>
          <w:t>законом</w:t>
        </w:r>
      </w:hyperlink>
      <w:r w:rsidRPr="00AF51F3">
        <w:rPr>
          <w:rFonts w:ascii="Times New Roman" w:hAnsi="Times New Roman" w:cs="Times New Roman"/>
          <w:i/>
          <w:sz w:val="24"/>
          <w:szCs w:val="24"/>
        </w:rPr>
        <w:t>,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5" w:anchor="dst100105" w:history="1">
        <w:r w:rsidRPr="00AF51F3">
          <w:rPr>
            <w:rFonts w:ascii="Times New Roman" w:hAnsi="Times New Roman" w:cs="Times New Roman"/>
            <w:i/>
            <w:sz w:val="24"/>
            <w:szCs w:val="24"/>
          </w:rPr>
          <w:t>правилами</w:t>
        </w:r>
      </w:hyperlink>
      <w:r w:rsidRPr="00AF51F3">
        <w:rPr>
          <w:rFonts w:ascii="Times New Roman" w:hAnsi="Times New Roman" w:cs="Times New Roman"/>
          <w:i/>
          <w:sz w:val="24"/>
          <w:szCs w:val="24"/>
        </w:rPr>
        <w:t>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6" w:anchor="dst257" w:history="1">
        <w:r w:rsidRPr="00AF51F3">
          <w:rPr>
            <w:rFonts w:ascii="Times New Roman" w:hAnsi="Times New Roman" w:cs="Times New Roman"/>
            <w:i/>
            <w:sz w:val="24"/>
            <w:szCs w:val="24"/>
          </w:rPr>
          <w:t>случаев</w:t>
        </w:r>
      </w:hyperlink>
      <w:r w:rsidRPr="00AF51F3">
        <w:rPr>
          <w:rFonts w:ascii="Times New Roman" w:hAnsi="Times New Roman" w:cs="Times New Roman"/>
          <w:i/>
          <w:sz w:val="24"/>
          <w:szCs w:val="24"/>
        </w:rPr>
        <w:t>, установленных Правительством Российской Федерации.</w:t>
      </w:r>
    </w:p>
    <w:p w:rsidR="00AF51F3" w:rsidRDefault="00AF51F3"/>
    <w:p w:rsidR="00AF51F3" w:rsidRPr="00574FFF" w:rsidRDefault="00AF51F3">
      <w:pPr>
        <w:rPr>
          <w:b/>
        </w:rPr>
      </w:pPr>
      <w:r w:rsidRPr="00574FFF">
        <w:rPr>
          <w:b/>
        </w:rPr>
        <w:t xml:space="preserve">Можно ли распространить на </w:t>
      </w:r>
      <w:r w:rsidR="00574FFF" w:rsidRPr="00574FFF">
        <w:rPr>
          <w:b/>
        </w:rPr>
        <w:t>П</w:t>
      </w:r>
      <w:r w:rsidRPr="00574FFF">
        <w:rPr>
          <w:b/>
        </w:rPr>
        <w:t>редприятие № 1, 2</w:t>
      </w:r>
    </w:p>
    <w:p w:rsidR="00AF51F3" w:rsidRPr="00C533BA" w:rsidRDefault="00574FFF" w:rsidP="00AF51F3">
      <w:pPr>
        <w:pStyle w:val="formattext"/>
        <w:spacing w:before="0" w:beforeAutospacing="0" w:after="120" w:afterAutospacing="0"/>
        <w:ind w:firstLine="482"/>
        <w:rPr>
          <w:i/>
        </w:rPr>
      </w:pPr>
      <w:r w:rsidRPr="00574FFF">
        <w:rPr>
          <w:i/>
        </w:rPr>
        <w:t xml:space="preserve">ППРФ №1172 </w:t>
      </w:r>
      <w:r w:rsidR="00AF51F3">
        <w:rPr>
          <w:i/>
        </w:rPr>
        <w:t xml:space="preserve">Пункт </w:t>
      </w:r>
      <w:r w:rsidR="00AF51F3" w:rsidRPr="00C533BA">
        <w:rPr>
          <w:i/>
        </w:rPr>
        <w:t xml:space="preserve">33. Подтверждение о нераспространении требования </w:t>
      </w:r>
      <w:hyperlink r:id="rId7" w:history="1">
        <w:r w:rsidR="00AF51F3" w:rsidRPr="00C533BA">
          <w:rPr>
            <w:rStyle w:val="a4"/>
            <w:i/>
          </w:rPr>
          <w:t>Федерального закона "Об электроэнергетике"</w:t>
        </w:r>
      </w:hyperlink>
      <w:r w:rsidR="00AF51F3" w:rsidRPr="00C533BA">
        <w:rPr>
          <w:i/>
        </w:rPr>
        <w:t xml:space="preserve"> о реализации всей производимой электрической энергии и мощности только на оптовом рынке выдается лицу в отношении указанной в абзаце первом </w:t>
      </w:r>
      <w:hyperlink r:id="rId8" w:history="1">
        <w:r w:rsidR="00AF51F3" w:rsidRPr="00C533BA">
          <w:rPr>
            <w:rStyle w:val="a4"/>
            <w:i/>
          </w:rPr>
          <w:t>пункта 31 настоящих Правил</w:t>
        </w:r>
      </w:hyperlink>
      <w:r w:rsidR="00AF51F3" w:rsidRPr="00C533BA">
        <w:rPr>
          <w:i/>
        </w:rPr>
        <w:t xml:space="preserve"> электростанции в целом, если одновременно соблюдаются следующие условия: </w:t>
      </w:r>
    </w:p>
    <w:p w:rsidR="00AF51F3" w:rsidRPr="00C533BA" w:rsidRDefault="00AF51F3" w:rsidP="00AF51F3">
      <w:pPr>
        <w:pStyle w:val="formattext"/>
        <w:spacing w:before="0" w:beforeAutospacing="0" w:after="120" w:afterAutospacing="0"/>
        <w:ind w:firstLine="482"/>
        <w:jc w:val="both"/>
        <w:rPr>
          <w:i/>
        </w:rPr>
      </w:pPr>
      <w:r w:rsidRPr="00C533BA">
        <w:rPr>
          <w:i/>
        </w:rPr>
        <w:t xml:space="preserve">среднемесячный объем потребления электрической энергии за то количество месяцев (из предшествующих 12 месяцев), в которых объем потребления электрической энергии не был равен нулю, используемой для удовлетворения собственных производственных нужд объектов основного промышленного производства лица, владеющего на праве собственности или на ином законном основании указанной электростанцией и такими объектами, имеющими с этой электростанцией электрические связи через принадлежащие на праве собственности или на ином законном основании такому лицу  объекты электросетевого хозяйства, с использованием которых осуществляется </w:t>
      </w:r>
      <w:r w:rsidRPr="00C533BA">
        <w:rPr>
          <w:i/>
        </w:rPr>
        <w:lastRenderedPageBreak/>
        <w:t xml:space="preserve">передача произведенной указанной электростанцией электрической энергии для обеспечения потребления объектов основного промышленного производства лица, составляет 75 процентов и более от среднемесячного объема производства электрической энергии указанной электростанции за то количество месяцев (из предшествующих 12 месяцев), в которых объем производства электрической энергии не был равен нулю; </w:t>
      </w:r>
    </w:p>
    <w:p w:rsidR="00AF51F3" w:rsidRPr="00C533BA" w:rsidRDefault="00AF51F3" w:rsidP="00AF51F3">
      <w:pPr>
        <w:pStyle w:val="formattext"/>
        <w:spacing w:before="0" w:beforeAutospacing="0" w:after="120" w:afterAutospacing="0"/>
        <w:ind w:firstLine="482"/>
        <w:jc w:val="both"/>
        <w:rPr>
          <w:i/>
        </w:rPr>
      </w:pPr>
      <w:r w:rsidRPr="00C533BA">
        <w:rPr>
          <w:i/>
        </w:rPr>
        <w:t xml:space="preserve">не более 40 процентов объема потребления электрической энергии, соответствующего величине присоединенной мощности объектов основного производства указанного лица, может быть обеспечено за счет производства электрической энергии на ином объекте (объектах) по производству электрической энергии и мощности, не принадлежащем такому субъекту; </w:t>
      </w:r>
    </w:p>
    <w:p w:rsidR="00AF51F3" w:rsidRDefault="00AF51F3" w:rsidP="00AF51F3">
      <w:pPr>
        <w:pStyle w:val="formattext"/>
        <w:spacing w:before="0" w:beforeAutospacing="0" w:after="120" w:afterAutospacing="0"/>
        <w:ind w:firstLine="482"/>
        <w:jc w:val="both"/>
        <w:rPr>
          <w:i/>
        </w:rPr>
      </w:pPr>
      <w:r w:rsidRPr="00C533BA">
        <w:rPr>
          <w:i/>
        </w:rPr>
        <w:t xml:space="preserve">объем производства электрической энергии в среднем в календарном месяце предыдущего года за час указанной электростанцией не превышает объем потребления электрической энергии объектами основного промышленного производства данного лица более чем на 25 МВт. </w:t>
      </w:r>
    </w:p>
    <w:p w:rsidR="00AF51F3" w:rsidRDefault="00574FFF">
      <w:r>
        <w:t xml:space="preserve">Если все условия </w:t>
      </w:r>
      <w:r w:rsidRPr="00574FFF">
        <w:t>Предприятие</w:t>
      </w:r>
      <w:r>
        <w:t xml:space="preserve">м № </w:t>
      </w:r>
      <w:r w:rsidR="005A7785">
        <w:t xml:space="preserve">1, </w:t>
      </w:r>
      <w:r w:rsidRPr="00574FFF">
        <w:t>2</w:t>
      </w:r>
      <w:r>
        <w:t xml:space="preserve"> соблюдаются</w:t>
      </w:r>
      <w:r w:rsidR="005A7785">
        <w:t xml:space="preserve"> за исключением одного месяца (в январе 73 %)</w:t>
      </w:r>
      <w:r>
        <w:t>.</w:t>
      </w:r>
    </w:p>
    <w:p w:rsidR="00574FFF" w:rsidRDefault="00574FFF">
      <w:pPr>
        <w:rPr>
          <w:b/>
        </w:rPr>
      </w:pPr>
      <w:r w:rsidRPr="00631C2C">
        <w:rPr>
          <w:b/>
        </w:rPr>
        <w:t xml:space="preserve">В случае </w:t>
      </w:r>
      <w:r w:rsidR="00631C2C" w:rsidRPr="00631C2C">
        <w:rPr>
          <w:b/>
        </w:rPr>
        <w:t xml:space="preserve">приобретения и </w:t>
      </w:r>
      <w:r w:rsidRPr="00631C2C">
        <w:rPr>
          <w:b/>
        </w:rPr>
        <w:t xml:space="preserve">установки Предприятием №1 </w:t>
      </w:r>
      <w:proofErr w:type="spellStart"/>
      <w:r w:rsidRPr="00631C2C">
        <w:rPr>
          <w:b/>
        </w:rPr>
        <w:t>газопоршневых</w:t>
      </w:r>
      <w:proofErr w:type="spellEnd"/>
      <w:r w:rsidRPr="00631C2C">
        <w:rPr>
          <w:b/>
        </w:rPr>
        <w:t xml:space="preserve"> </w:t>
      </w:r>
      <w:r w:rsidR="00631C2C" w:rsidRPr="00631C2C">
        <w:rPr>
          <w:b/>
        </w:rPr>
        <w:t>электрических станций</w:t>
      </w:r>
      <w:r w:rsidRPr="00631C2C">
        <w:rPr>
          <w:b/>
        </w:rPr>
        <w:t xml:space="preserve"> мощностью 4,5 МВт</w:t>
      </w:r>
      <w:r w:rsidR="00631C2C" w:rsidRPr="00631C2C">
        <w:rPr>
          <w:b/>
        </w:rPr>
        <w:t xml:space="preserve"> возникает ли риск выхода Предприятия №1 на оптовый рынок?</w:t>
      </w:r>
    </w:p>
    <w:p w:rsidR="005A7785" w:rsidRPr="00631C2C" w:rsidRDefault="005A7785">
      <w:pPr>
        <w:rPr>
          <w:b/>
        </w:rPr>
      </w:pPr>
      <w:r w:rsidRPr="005A7785">
        <w:rPr>
          <w:b/>
        </w:rPr>
        <w:t xml:space="preserve">Предприятие №1 продает часть электроэнергии со своего </w:t>
      </w:r>
      <w:proofErr w:type="gramStart"/>
      <w:r w:rsidRPr="005A7785">
        <w:rPr>
          <w:b/>
        </w:rPr>
        <w:t>генератора  Предприятию</w:t>
      </w:r>
      <w:proofErr w:type="gramEnd"/>
      <w:r w:rsidRPr="005A7785">
        <w:rPr>
          <w:b/>
        </w:rPr>
        <w:t xml:space="preserve"> №2</w:t>
      </w:r>
      <w:r w:rsidR="004922FE">
        <w:rPr>
          <w:b/>
        </w:rPr>
        <w:t xml:space="preserve">. </w:t>
      </w:r>
      <w:r>
        <w:rPr>
          <w:b/>
        </w:rPr>
        <w:t>Существует риск оплаты Предприятием №1 услуг по передаче электрической энергии МРСК Урала при опосредованном присоединении за объем проданной электроэнергии по прямому договору купли-продажи электроэнергии</w:t>
      </w:r>
      <w:r w:rsidR="004922FE">
        <w:rPr>
          <w:b/>
        </w:rPr>
        <w:t>.</w:t>
      </w:r>
      <w:bookmarkStart w:id="0" w:name="_GoBack"/>
      <w:bookmarkEnd w:id="0"/>
      <w:r>
        <w:rPr>
          <w:b/>
        </w:rPr>
        <w:t xml:space="preserve"> </w:t>
      </w:r>
    </w:p>
    <w:sectPr w:rsidR="005A7785" w:rsidRPr="00631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8D"/>
    <w:rsid w:val="004922FE"/>
    <w:rsid w:val="004C6F8D"/>
    <w:rsid w:val="00574FFF"/>
    <w:rsid w:val="005A7785"/>
    <w:rsid w:val="005C49A1"/>
    <w:rsid w:val="00613EB4"/>
    <w:rsid w:val="00631C2C"/>
    <w:rsid w:val="00A14D2B"/>
    <w:rsid w:val="00A332DB"/>
    <w:rsid w:val="00AA5C2F"/>
    <w:rsid w:val="00AF51F3"/>
    <w:rsid w:val="00B87E02"/>
    <w:rsid w:val="00FE5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9885"/>
  <w15:chartTrackingRefBased/>
  <w15:docId w15:val="{AA527535-D2FC-4AE6-9946-BB591CED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F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5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70614&amp;prevdoc=902270614&amp;point=mark=000000000000000000000000000000000000000000000000007DU0KD" TargetMode="External"/><Relationship Id="rId3" Type="http://schemas.openxmlformats.org/officeDocument/2006/relationships/webSettings" Target="webSettings.xml"/><Relationship Id="rId7" Type="http://schemas.openxmlformats.org/officeDocument/2006/relationships/hyperlink" Target="kodeks://link/d?nd=901856089&amp;prevdoc=902270614&amp;point=mark=000000000000000000000000000000000000000000000000007D20K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54179/ff4a86123ed6444fff9610df35216eb543fc08b3/" TargetMode="External"/><Relationship Id="rId5" Type="http://schemas.openxmlformats.org/officeDocument/2006/relationships/hyperlink" Target="https://www.consultant.ru/document/cons_doc_LAW_454179/ff4a86123ed6444fff9610df35216eb543fc08b3/" TargetMode="External"/><Relationship Id="rId10" Type="http://schemas.openxmlformats.org/officeDocument/2006/relationships/theme" Target="theme/theme1.xml"/><Relationship Id="rId4" Type="http://schemas.openxmlformats.org/officeDocument/2006/relationships/hyperlink" Target="https://www.consultant.ru/document/cons_doc_LAW_454105/915b86c8c991b8d2124f013c300f4b9115ea3ec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2</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 Vyacheslav</dc:creator>
  <cp:keywords/>
  <dc:description/>
  <cp:lastModifiedBy>Griga Vyacheslav</cp:lastModifiedBy>
  <cp:revision>3</cp:revision>
  <dcterms:created xsi:type="dcterms:W3CDTF">2023-11-27T12:47:00Z</dcterms:created>
  <dcterms:modified xsi:type="dcterms:W3CDTF">2024-01-16T13:28:00Z</dcterms:modified>
</cp:coreProperties>
</file>